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ИКТ и медиаинформационная грамотность</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«ИКТ и медиаинформационная грамотность»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«ИКТ и медиаинформационная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«ИКТ и медиаинформационная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ОПК-9.1 знать принципы работы современных информационных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ОПК-9.3 владеть навыками использования современных информационных технологий для решения задач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343.9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сопоставлять разные источники информации с целью выявления их противоречий и поиска достоверных суждений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«ИКТ и медиаинформационная грамотность»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Математика и информатика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ОПК-9, УК-1,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Введение в информационно- коммуникационные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Медиаинформационная грамотность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Документальные и электронные источники информации. Аналитико- синтетическая переработка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баз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тестов My test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Медиаинформационная грамотность как компетенция человека 21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Дистанционные технологии в образовании как средство расширения информационного образовательного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Пакет прикладных программ Microsoft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текстовой и числовой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мультимедийной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возможностей MS Word в работе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создания презентаций в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Оформление текста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информационной и компьютерной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065.0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Медиаинформационная грамотность педагога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грамотность. Цифровая грамотность. Информационная культура личности. Информационная культура общества. Составляющие профессиональной ИКТ- компетентности педагога.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Документальные и электронные источники информации. Аналитико- синтетическая переработка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Документальные и электронные источники информации. Электронные каталоги библиотек. Технология поиска источников информации в каталогах библиотек. Тенденции развития электронных изданий. Интернет как мировой информационный ресурс. Поиск электронных источников информации. Оформление библиографических ссылок на документальные и электронные источники информации. Цели аналитико- синтетической переработки информации. Основные виды переработки аналитико- синтетической информации. Методы свертывания научной информации: подготовка планов, тезисов, конспектов, рефератов.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1300.2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(ИИ). Понятие систем искусственного интеллекта (СИИ). Этапы развития СИИ. Основные направления развития исследований в области СИИ. Экспертные системы (ЭС) как вид СИИ. Общая структура и схема функционирования ЭС. Основные положения нечеткой логики. Модели нечеткой логики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профессиональной деятельности. Понятие нейронной сети. Глубокие нейронные сети (компьютерное зрение, разбор естественного языка, анализ табличных данных). Обучение нейронных сетей. Моделирование и применение нейронных сетей в профессиональной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текстовой и числовой информации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мультимедийной презентации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представлению результатов информационной деятельности. Технология создания мультимедийной презентации.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Медиаинформационная грамотность как компетенция человека 21 века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электронной персональной образовательной среды педагога. Системы управления обучением. Персональный сайт, блог. Информационная грамотность. Цифровая грамотность.</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Дистанционные технологии в образовании как средство расширения информационного образовательного пространства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обучения детей с ОВЗ. Возможности ИКТ при обучении детей с ОВЗ.</w:t>
            </w:r>
          </w:p>
          <w:p>
            <w:pPr>
              <w:jc w:val="both"/>
              <w:spacing w:after="0" w:line="240" w:lineRule="auto"/>
              <w:rPr>
                <w:sz w:val="24"/>
                <w:szCs w:val="24"/>
              </w:rPr>
            </w:pPr>
            <w:r>
              <w:rPr>
                <w:rFonts w:ascii="Times New Roman" w:hAnsi="Times New Roman" w:cs="Times New Roman"/>
                <w:color w:val="#000000"/>
                <w:sz w:val="24"/>
                <w:szCs w:val="24"/>
              </w:rPr>
              <w:t> Возможности технических средств и программного обеспечения для организации рабочего места обучающихся с нарушениями зрения, слуха, двигательной активности.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Оформление текста реферата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информационной и компьютерной безопасности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средств и методов защиты информации. Компьютерные вирусы. Антивирусные программные средства.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баз данных MS ACCESS</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тестов My test</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возможностей MS Word в работе учителя</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создания презентаций в MS POWER 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«ИКТ и медиаинформационная грамотность»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38.8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2024-2025_ФГОС3++2024_Бак-ОФО-ПО(ИЯ)(24)_plx_ИКТ и медиаинформационная грамотность</dc:title>
  <dc:creator>FastReport.NET</dc:creator>
</cp:coreProperties>
</file>